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«Сафи» обратилось в Арбитражный суд Краснодарского края с иском о взыскании с общества с ограниченной ответственностью «ФриСтайл» 22 500 000 рублей задолженности по договору займа. Решением Арбитражного суда Краснодарского края от 28.01.2020 иск удовлетворен. Постановлением Пятнадцатого арбитражного апелляционного суда от 20.05.2020 решение суда первой инстанции оставлено без изменения. Арбитражный суд Северо-Кавказского округа постановлением от 27.08.2020 указанные судебные акты оставил без изменения. Общество с ограниченной ответственностью «ФриСтайл»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Удовлетворяя иск, суды руководствовались положениями статей 807, 808, 809, 810 Гражданского кодекса Российской Федерации и исходили из доказанности факта передачи истцом-займодавцем ответчику-заемщику заемных денежных средств и отсутствия доказательств возврата суммы займа в полном объеме. Доводы, изложенные в кассационной жалобе, выводы судов не опровергают,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«ФриСтайл»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