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Глущенко Владимир Евгеньевич обратился в суд с заявлением о включении в реестр требований кредиторов должника его требования в размере 33 022 333 рублей 15 копеек. Определением Арбитражного суда Вологодской области от 05.11.2019 признано обоснованным и включено в третью очередь реестра требование Глущенко В.Е. в размере 33 013 211 рублей 23 копеек Постановлением Четырнадцатого арбитражного апелляционного суда от 25.02.2020, оставленным без изменения постановлением Арбитражного суда Северо-Западного округа от 01.09.2020, изменено определение суда перовой инстанции от 05.11.2019, признано обоснованным и подлежащим включению в третью очередь реестра требование в размере 6 881 614 рублей 55 копеек основного долга, 7 107 486 рублей 36 копеек процентов за пользование займом,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отказать Глущенко В.Е. во включении в реестр требований кредиторов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 руководствовался статьями 71, 100, 142 Федерального закона от 26.10.2002 № 127-ФЗ «О несостоятельности (банкротстве)» (далее – Закон о банкротстве),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указал, что требование подтверждено документально, основано на заключенных сторонами заёмных сделках и не является текущим, в связи с чем является обоснованным и подлежит учёту в составе третьей очереди реестра. Изменяя определение и отказывая в удовлетворении части требований, апелляционный суд, руководствуясь статьями 195, 196, 199 и 200 Гражданского кодекса Российской Федерации, статьёй 213.8 Закона о банкротстве, пришёл к выводу о пропуске срока исковой давности по части требований, заявленных к должнику в рамках настоящего обособленного спора, что является самостоятельным основанием для отказа в удовлетворении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Признание недействительным договора уступки прав требований от 01.10.2016 в деле № А13-2545/2017 Арбитражного суда Вологодской области о несостоятельности (банкротстве) Масалова Вячеслава Борисовича (займодавца и цедента) может служить основанием для пересмотра вступивших в законную силу судебных актов по настоящему делу в соответствии с положениями главы 37 Арбитражного процессуального кодекса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Шачину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