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«ПКФ «ТАЙМ-2005» удовлетворить. Срок подачи кассационной жалобы на решение Арбитражного суда Липецкой области от 09.10.2019, постановление Девятнадцатого арбитражного апелляционного суда от 03.03.2020 и постановление Арбитражного суда Центрального округа от 31.07.2020 по делу № А36-1900/2019 восстановить. Судья Верховного Суда Российской Федерации Н.С. Чучунова Суд: Верховный Суд РФ (подробнее) Истцы: ООО "Липецкптица" (подробнее) Ответчики: ООО "ПКФ "ТАЙМ-2005"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