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12.12.2019, оставленным без изменения постановлением Пятнадцатого арбитражного апелляционного суда от 02.06.2020 и постановлением Арбитражного суда Северо-Кавказского округа от 11.08.2020, иск удовлетворен.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 в соответствующий арбитражный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компания (субподрядчик), обращаясь в арбитражный суд с иском по настоящему делу, сослалась на то, что выполнила в рамках заключенного с обществом (подрядчик) контракта от 04.05.2018 № СП1/24-ТПР/18 (далее – контракт) работы, которые последним в полном объеме не оплачены.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субподрядчик выполнил работы по контракту, а подрядчик принял их результат и, учитывая отсутствие доказательств выполнения работ ненадлежащего качества, как и оплаты работ в полном объеме, руководствуясь статьями 309, 310, 702, 711, 720, 721, 723, 753, 755 Гражданского кодекса Российской Федерации, разъяснениями, приведенными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пришли к выводу о наличии оснований для удовлетворения иска. С указанными выводами впоследствии согласился суд округа. Доводы заявителя о допущенных судом апелляционной инстанции процессуальных нарушениях были предметом рассмотрения окружного суда и получили правовую оценку. Иные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«Черномор-НефтеСтрой»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