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«Строительно-финансовая компания Сургутгазстрой» (далее – компания) обратилось в Арбитражный суд Республики Татарстан с иском к обществу о ущерба и процентов.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СК «ВТБ Страхование». Определением Арбитражного суда Республики Татарстан от 12.12.2017 утверждено мировое соглашение, заключенное между компанией и обществом; производство по делу прекращено. Конкурсный управляющий обществом, не согласившись с определением суда первой инстанции, обратился в Арбитражный суд Поволжского округа с кассационной жалобой, заявив ходатайство о восстановлении пропущенного процессуального срока. Арбитражный суд Поволжского округа определением от 26.06.2020, оставленным без изменения определением того же суда от 06.08.2020, 2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конкурсный управляющий обществом, ссылаясь на неправильное применение окружным судом норм права, просит отменить его определения.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жалобу, суд округа руководствовался положениями статей 9, 117, 276, 281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заявителем не представлены доказательства объективности и уважительности причин пропуска процессуального срока на подачу жалобы. С приведенными выводами согласился окружной суд при рассмотрении жалобы заявителя, поданной в порядке статьи 291 Арбитражного процессуального кодекса Российской Федерации, указав на то, что с учетом даты признания общества банкротом и даты подачи его конкурсным управляющим кассационной жалобы, ошибочные выводы суда о дате возникновения у конкурсного управляющего права на обжалование определения суда первой инстанции не привели к принятию неправильного судебного акта. Достаточных оснований для иных выводов заявителем не приведено. Доводы кассационной жалобы не свидетельствуют о допущенных судом нарушениях норм права, которые бы служили достаточным основанием 3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«Эрель Газстрой» Смирнова Алексея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