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«Центр судоремонта «Дальзавод» (далее – общество) обратилось в Арбитражный суд Приморского края с иском, уточненным в порядке статьи 49 Арбитражного процессуального кодекса Российской Федерации, к заводу о взыскании 110 697 153 руб. 80 коп. процентов за пользование коммерческим кредитом, 133 750 121 руб. 93 коп. неустойки в связи с просрочкой исполнения обязательств по договору от 19.03.2015 № 236-15Р. К участию в деле в качестве третьего лица, не заявляющего самостоятельных требований относительно предмета спора, привлечено Министерство обороны Российской Федерации. Решением Арбитражного суда Приморского края от 27.11.2019, оставленным без изменения постановлением Пятого арбитражного апелляционного суда от 08.06.2020 и постановлением Арбитражного суда Дальневосточного округа от 07.10.2020, с завода в пользу общества взыскано 30 000 000 руб. неустойки, 109 697 153 руб. 80 коп. процентов за пользование 2 коммерческим кредитом, в удовлетворении остальной части исковых требований отказано. В кассационной жалобе, поданной в Верховный Суд Российской Федерации, завод просит о пересмотре указанных судебных актов в части взыскания процентов за пользование коммерческим кредитом как принятых с нарушением норм материального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заключенного между обществом (заказчиком) и заводом (исполнителем) договора от 19.03.2015 № 236-15Р (далее – договор), руководствуясь статьями 309, 310, 421, 431, 702, 708, 809, 823 Гражданского кодекса Российской Федерации, разъяснениями, изложенными в пункте 12 постановления Пленума Верховного Суда Российской Федерации и Пленума Высшего Арбитражного Суда Российской Федерации от 08.10.1998 № 13/14 «О практике применения положений Гражданского кодекса Российской Федерации о процентах за пользование чужими денежными средствами», суды первой и апелляционной инстанций пришли к выводу об обоснованности требования истца о взыскании процентов за пользование коммерческим кредитом в заявленном размере. В частности, суды исходили из доказанности факта ненадлежащего исполнения ответчиком обязательств в части соблюдения сроков выполнения работ по договору и наличия на стороне последнего обусловленной условиями договора обязанности по выплате процентов за пользование авансом как коммерческим кредитом. С указанными выводами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«Находкинский судоремонтный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