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19.12.2019, оставленным без изменения постановлением Пятнадцатого арбитражного апелляционного суда от 26.05.2020 и постановлением Арбитражного суда Северо-Кавказского округа от 24.08.2020, в удовлетворении заявленного требования отказано. В кассационной жалобе, поданной в Верховный Суд Российской Федерации, администрация, ссылаясь на существенное нарушение норм права, просит отменить судебные акты и удовлетворить требование.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признано победителем электронного аукциона на изготовление проектно-сметной документации по объектам электроснабжения Темрюкского городского поселения Темрюкского района. Между администрацией (заказчик) и обществом 27.08.2018 заключен муниципальный контракт, от исполнения которого 21.11.2018 заказчик отказался в одностороннем порядке на основании пункта 10.2 контракта. Администрация направила в управление сведения в отношении общества для включения в реестр недобросовестных поставщиков. Решением антимонопольного органа во включении сведений об обществе в реестр недобросовестных поставщиков отказано. Считая решение незаконным, администрация обратилась с заявлением в арбитражный суд. Оценив представленные в материалы дела доказательства, суды установили, что односторонний отказ от исполнения контракта мотивирован заказчиком отсутствием признаков его исполнения. Вместе с тем существенные условия нарушения контракта, послужившие основанием для принятия данного решения, администрацией в решении об одностороннем отказе от исполнения контракта не указаны, что свидетельствует об отсутствии у исполнителя возможности устранить данные нарушения. При этом вопреки утверждению администрации, общество осуществляло действия, направленные на исполнение контракта, а все представленные им в адрес администрации замечания и предложения были учтены при проведении последующего аукциона. Учитывая установленные обстоятельства, руководствуясь положениями статей 95,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3 суды пришли к выводу об отсутствии оснований для включения сведений в отношении общества в реестр недобросовестных поставщиков и признали оспоренное решение антимонопольного органа законным. Доводы администрации, изложенные в кассационной жалобе, не подтверждают существенных нарушений норм материального и процессуального права, повлиявших на исход дела, по сути, направлены на переоценку выводов судов по фактическим обстоятельствам дела и основаны на ином применении к ним положений законодательства,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Темрюкского городского поселения Темрюкского района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