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18.06.2020, оставленным без изменения постановлением Пятого арбитражного апелляционного суда от 07.08.2020, в удовлетворении требований отказано. 2 Постановлением Арбитражного суда Дальневосточного округа от 09.10.2020 указанные судебные акты оставлены без изменения. Фонд обратился в Верховный Суд Российской Федерации с кассационной жалобой, в которой просит принятые по делу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Гражданского кодекса Российской Федерации, Водного кодекса Российской Федерации, Федерального закона от 24.06.1998 № 89-ФЗ «Об отходах производства и потребления», суды отказали в удовлетворении требований, признав, что заказ на заключение договора на выполнение мероприятий по охране водных объектов по правилам законодательства Российской Федерации о контрактной системе не размещался, наличие у администрации обязанности по заключению договора по иным названным фондом основаниям не доказано, отказ не влечет нарушение прав и законных интересов фонда. Доводы кассационной жалобы были предметом исследования судов и получили исчерпывающую правовую оценку, не согласиться с которой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