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«ИнфоТеКС» (далее – общество) обратилось в суд с заявлением о включении в реестр требований кредиторов должника (далее – реестр) задолженности, пени и расходов по уплате государственной пошлины по договорам от 29.10.2017 № TSC17-427 и № от 02.11.2017 № TSC17-301. Определением Арбитражного суда города Москвы от 28.01.2020, оставленным без изменения постановлениями Девятого арбитражного апелляционного суда от 09.06.2020 и Арбитражного суда Московского округа от 02.09.2020, требования в части основного долга и пени признаны обоснованными и включены в третью очередь реестра; производство по требованию в части расходов по уплате государственной пошлины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в части основного долга и пеней подтверждено документально, не исполнено должником и в отличие от причитающейся обществу суммы судебных расходов не являлось текущим, в связи с чем пришли к выводам об обоснованности и наличии оснований для его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«Техносерв Консалтинг»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