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Семенов Владимир Павлович обратился в суд с заявлением о признании недействительной сделкой заключенного между должником и обществом договора от 20.01.2017 участия в долевом строительстве многоквартирного дома по адресу: Московская область, г. Истра, в восточной части, дом 34. Определением Арбитражного суда Московской области от 20.01.2020, оставленным без изменения постановлениями Десятого арбитражного апелляционного суда от 27.05.2020 и Арбитражного суда Московского округа от 05.08.2020,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установив обстоятельства совершения оспариваемой сделки заинтересованными лицами с целью создания видимости существования между ними реальных хозяйствующих отношений, опосредовавшей безвозмездную передачу заявителю нежилого помещения с целью вывода данного актива из конкурсной массы во вред имущественным правам кредиторов, пришли к выводам о наличии оснований для признания её недействительной, отклонив доводы о пропуске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«Домовик»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