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24.09.2019, оставленным без изменения постановлением Девятого арбитражного апелляционного суда 2 от 26.12.2019, первоначальный иск удовлетворен, в удовлетворении встречного иска отказано. Постановлением Арбитражного суда Московского округа от 17.08.2020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 в указанной части.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и доводы сторон относительно объема и стоимости выполненных работ, и с учетом результата их оценки в совокупности и взаимосвязи принять обоснованное решение с учетом норм применимого законодательства.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3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