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06.02.2020, оставленным без изменения постановлением Второго арбитражного апелляционного суда от 15.05.2020, в удовлетворении требований отказано. Постановлением Арбитражного суда Волго-Вятского округа от 21.08.2020 указанные судебные акты оставлены без изменения. Предприниматель просит обжалуемые судебные акты отменить, считая их принятыми с существенным нарушением норм материального права и (или)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33, 64,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1 и 55 Градостроительного кодекса Российской Федерации, суды отказали в удовлетворении требований, признав заявку предпринимателя как участника закупки не соответствующей требованиям, установленным документацией об аукционе. Доводы кассационной жалобы были предметом исследования судов и получили исчерпывающую правовую оценку с учетом представленных в материалы дела доказательств и установленных необходимых характеристик предмета закупки, не согласиться с которой оснований не имеется. Нарушений статьи 18 Арбитражного процессуального кодекса Российской Федерации при формировании состава суда в апелляционной инстанции не установлено. Доказательств, опровергающих указанные выводы судов, в жалобе не представлено.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Департамент имущественных и земельных отношений Ярославской области (подробнее) Иные лица: Арбитражный суд Ярославской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