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28.02.2020, оставленным без изменения постановлением Девятого арбитражного апелляционного суда от 30.06.2020, иск удовлетворен частично, признан недействительным односторонний отказ от исполнения договоров, определена задолженность по оплате работ, признан недействительным произведенный зачет встречных требований, начислены проценты за пользование чужими денежными средствами; в удовлетворении остальной части иска отказано. Постановлением Арбитражного суда Московского округа от 02.10.2020 указанные судебные акты оставлены без изменения. Ответчик обратился в Верховный Суд Российской Федерации с кассационной жалобой, в которой просит принятые по делу судебные акты отменить, направить дело на новое рассмотрение в суд первой инстанции.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 310 , 329 , 330 , 395 , 405 , 406 , 410 , 412 , 715 , 717 Гражданского кодекса Российской Федерации, суды частично удовлетворили иск исходя из того, что работы были выполнены истцом в полном объеме и надлежащего качества, однако ответчик работы не оплатил; в отсутствие доказательств несвоевременного выполнения работ по вине истца, суды пришли к выводу о том, что обязательство истца по уплате неустойки отсутствовало, в связи с чем признали произведенный ответчиком зачет недействительным; оснований для одностороннего отказа от договоров при установленных обстоятельствах судами не выявлено. Доводы кассационной жалобы были предметом исследования судов, и получили исчерпывающую правовую оценку с учетом представленных в материалы дела доказательств,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"ЯНТАРЬСЕРВИСБАЛТИК" (подробнее) Ответчики: АО "Главное управление обустройства войск"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