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07.11.2019, оставленным без изменения постановлением Первого арбитражного апелляционного суда от 07.02.2020, иск удовлетворен. Постановлением Арбитражного суда Волго-Вятского округа от 26.08.2020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 факт выполнения подрядчиком работ, наличия их потребительской ценности для заказчика и использования их результата. Доводы кассационной жалобы были предметом исследования судов, и получили исчерпывающую правовую оценку с учетом представленных в материалы дела доказательств,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Автодорсервис (подробнее) Ответчики: ГКУ НО "ГУАД"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