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30.09.2019, оставленным без изменения постановлением Девятого арбитражного апелляционного суда от 26.02.2020, иск в части взыскания 4 409 602 рублей 46 копеек вознаграждения оставлен иск без рассмотрения вследствие несоблюдения претензионного порядка, в остальной части иска отказано. Арбитражный суд Московского округа постановлением от 24.08.2020 решение от 30.09.2019 и постановление Девятого арбитражного апелляционного суда от 26.02.2020 оставил без изменения. В кассационной жалобе общество «Элтрейд» просит об отмене судебных актов вследствие несоответствия их договору и обстоятельствам его исполнения.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представленные доказательства исполнения агентского договора от 27.01.2015 № 97024, суды установили осуществление сторонами расчетов и отсутствие долга по агентскому вознаграждению.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«Элтрейд»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