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04.02.2020, оставленным без изменения постановлением Девятого арбитражного апелляционного суда от 07.07.2020, в удовлетворении заявленного требования отказано. 2 Постановлением Арбитражного суда Московского округа от 30.09.2020 указанные судебные акты оставлены без изменения. Горовенко Л.В.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согласились с выводами административного органа об отсутствии достаточных данных, указывающих на наличие в действиях акционерного общества «Почта России» события административного правонарушения, в связи с чем признали оспариваемое определение об отказе в возбуждении дела об административном правонарушении законным и обоснованным.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Чем в рассматриваемом случае нарушены права Горовенко Л.В., которая не является потребителем почтовой услуги по отправке спорного почтового отправления (пересылка почтового отправления осуществлялась между иными лицами), и какой защите они подлежат, в жалобе не указано. Кроме того,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3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