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16.03.2020, оставленным без изменения постановлением Девятого арбитражного апелляционного суда от 20.07.2020, в удовлетворении заявленного требования отказано. Постановлением Арбитражного суда Московского округа от 25.09.2020 указанные судебные акты оставлены без изменения. ФИО1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согласились с выводами административного органа об отсутствии достаточных данных, указывающих на наличие в действиях акционерного общества «Почта России» события административного правонарушения, в связи с чем признали оспариваемое определение об отказе в возбуждении дела об административном правонарушении законным и обоснованным.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Чем в рассматриваемом случае нарушены права ФИО1, которая не является потребителем почтовой услуги по отправке спорного почтового отправления (пересылка почтового отправления осуществлялась между иными лицами) и какой защите они подлежат, в жалобе не указано. Кроме того,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ТО Управление Федеральной Службы по надзору в сфере защиты прав потребителей и благополучия человека по г. Москве в ЮАО г.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