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21.08.2019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Учитывая незначительность пропуска срока (1 день), в целях обеспечения процессуальных гарантий, вытекающих из права на судебную защиту, включающего и право на обжалование судебных постановлений, ходатайство о восстановлении срока подлежит удовлетворению, пропущенный срок подлежит восстановлению.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«МОТОСЕРВИС»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ЦОПАЗ Главное Управление Министерства внутренних дел Российской Федерации по Санкт-Петербургу и Ленинградской области (подробнее) Ответчики: ООО "Мотосервис" (подробнее) Иные лица: чжецзян ЭСЭФМОТО Пауэр Ко, Лтд (подробнее) чжэцзян сфмото пауэр ко (подробнее) чжэцзян сфмото пауэр ко ЛТД (подробнее) Судьи дела: Першутов А.Г. (судья) Последние документы по делу: Определение от 1 декабря 2020 г. по делу № А56-157099/2018 Определение от 21 октября 2019 г. по делу № А56-157099/2018 Определение от 23 августа 2019 г. по делу № А56-157099/2018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