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07.02.2020, оставленным без изменения постановлением Первого арбитражного апелляционного суда от 05.06.2020, заявленные требования удовлетворены. Постановлением Арбитражного суда Волго-Вятского округа от 09.09.2020 указанные судебные акты оставлены без изменения. Административный орган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наличие в действиях общества как управляющей организации состава административного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суды пришли к выводу о том, что административный орган пропустил срок давности привлечения управляющей организации к ответственности.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правонарушения. При этом срок давности привлечения общества к административной ответственности признан судами пропущенным с учетом вмененного правонарушения - осуществления предпринимательской деятельности по управлению многоквартирными домами с нарушением лицензионных требований, выразившемся в неправомерном начислении нанимателю жилого помещения платы за коммунальные услуги по холодному и горячему водоснабжению с применением повышающего коэффициента в квитанции за август 2019 года, выставленной не позднее 01.09.2019, в отсутствие доказательств того, что общество продолжало осуществлять указанные неправомерные действия при начислении нанимателю размера платы за коммунальные услуги в дальнейшем. Доводы жалобы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УК "на Зайцева" (подробнее) ООО Управляющая компания "На Зайцева" (подробнее) Ответчики: ГЖИ Нижегородской области (подробнее) Иные лица: Государственная жилищная инспекция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