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10.04.2020, оставленным без изменения постановлением Девятнадцатого арбитражного апелляционного суда от 07.05.2020 и постановлением Арбитражного суда Центрального округа от 29.07.2020, исковое заявление возвращено на основании пункта 1 части 1 статьи 129 Арбитражного процессуального кодекса Российской Федерации. В кассационной жалобе Мосина Е.А. просит о пересмотре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Подлежащие рассмотрению в арбитражном суде споры с участием граждан поименованы в статье 27 Арбитражного процессуального кодекса Российской Федерации. Отнесение к поименованным рассматриваемого спора не подтверждено, в связи с чем исковое заявление правомерно возвращено.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Мосиной Елене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