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16.10.2017, оставленным без изменения постановлением Пятого арбитражного апелляционного суда от 03.05.2018, учреждению в иске отказано; исковые требования администрации удовлетворены частично. Определением Арбитражного суда Приморского края от 24.04.2019, оставленным без изменения постановлением Пятого арбитражного апелляционного суда от 15.05.2020, исправлена опечатка, допущенная во вводной части решения суда от 16.10.2017 в отношении наименования, ИНН и ОГРН ответчика, которые изложены как «к обществу с ограниченной ответственностью «Дальстройбизнес-2» (ОГРН &lt;***&gt;, ИНН &lt;***&gt;, дата регистрации 22.12.2002)». В кассационной жалобе заявитель просит о пересмотре судебных актов в отношении исправления опечатки, ссылаясь на фактическую замену ответчика по делу посредством исправления опечатки.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решением от 16.10.2017 рассмотрен спор из муниципальных контрактов, стороной в которых являлось лицо с обозначением ОГРН и ИНН, принадлежащими заявителю, представители заявителя участвовали в судебных заседаниях, по их ходатайству назначалась экспертиза, платежное поручение о внесении денежных средств на депозит суда содержит реквизиты заявителя, заявитель обжаловал решение в апелляционную инстанцию. Указанные обстоятельства позволили суду идентифицировать заявителя с участвовавшим в деле лицом и соблюдении в отношении него необходимых процессуальных формальностей, а неправильное указание его реквизитов во вводной части решения – признать могущими быть исправленными в порядке статьи 179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«Дальстройбизнес II»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Муниципальное казенное учреждение "Центр физической культуры и спорта г. Артема" (подробнее) Ответчики: ООО "Дальстройбизнес-2" (подробнее) ООО "Дальстройбизнес-II" (подробнее) Иные лица: Администрация Артемовского городского округа (подробнее) ИФНС по Фрунзенскому району г.Владивостока (подробнее) ООО Консалтинговая компания "Арктур эксперт" (подробнее) ООО "Строительно-техническая диагностическая компания" (подробнее) ООО Эксперт плюс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