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задолженности в сумме 872 328 рублей 49 копеек, в том числе 780 000 рублей основного долга, 92 328 рублей 49 копеек процентов за пользование чужими денежными средствами. Определением Арбитражного суда Свердловской области от 27.01.2020, оставленным без изменения постановлениями Семнадцатого арбитражного апелляционного суда от 21.05.2020 и Арбитражного суда Уральского округа от 20.08.2020,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100, 213.24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отсутствия доказательств, подтверждающих наличие и размер задолженности перед заинтересованным лицом, не востребовавшим просроченную задолженность при отсутствии к тому объективных препятствий, в связи с чем отказали в удовлетворении заявленных требований.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«Аптека 5»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