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Архангельской области от 18.02.2020 встречное исковое заявление общества о взыскании долга по соглашению от 01.01.2019 возвращено. Постановлением Четырнадцатого арбитражного апелляционного суда от 18.06.2020 и постановлением Арбитражного суда Северо-Западного округа от 28.07.2020 определение оставлено без изменения. В кассационной жалобе общество просит об отмене указанных судебных актов, ссылаясь на взаимную связь встречного иска с первоначальным, направленность его на зачет к первоначальному требованию и использование его возврата кооперативом для инициирования процедуры банкротства общества.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Как следует из дополнения к кассационной жалобе, по требованию, заявленному во встречном иске, возбуждено самостоятельное исковое производство, в рамках которого возможно восстановление прав общества, что в силу обозначенных оснований исключает пересмотр обжалуемых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«Севнаучфлот»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Сельскохозяйственный "Рыболовецкий колхоз "Беломор" (подробнее) Ответчики: ООО "Севнаучфлот" (подробнее) Судьи дела: Ксенофонтова Н.А. (судья) (подробнее) Последние документы по делу: Определение от 1 декабря 2020 г. по делу № А05-300/2020 Определение от 11 сентября 2020 г. по делу № А05-300/2020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