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Давлетшина Айгуль Римовна обратилась в суд с заявлением о признании недействительными сделок по перечислению с расчётного счёта должника денежных средств в размере 12 069 000 рублей в пользу агрофирмы; применении последствий их недействительности. Определением Арбитражного суда Республики Татарстан от 06.12.2019, оставленным без изменения постановлениями Одиннадцатого арбитражного апелляционного суда от 16.06.2020 и Арбитражного суда Поволжского округа от 06.08.2020,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168, 170 Гражданского кодекса Российской Федерации, статьями 61.2, 61.6, 61.8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посредством безвозмездного перечисления неплатёжеспособным должником денежных средств в пользу агрофирмы как заинтересованного лица при отсутствии к тому экономической целесообразности с целью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Агрофирма «Грахово»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