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третьей очереди своего требования в размере 68 563 002 рублей 74 копеек, из которых 30 000 000 рублей – сумма основного долга, 6 613 002 рублей 74 копейки – проценты за пользование займом, 31 950 000 рублей – неустойка. Определением Арбитражного суда Республики Башкортостан от 31.01.2019, оставленным без изменения постановлением Восемнадцатого арбитражного апелляционного суда от 01.04.2019, в удовлетворении требования отказано. Постановлением Арбитражного суда Уральского округа от 18.06.2019 вышеуказанные судебные акты отменены, обособленный спор направлен на новое рассмотрение в Арбитражный суд Республики Башкортостан. При новом рассмотрении определением Арбитражного суда Республики Башкортостан от 25.10.2019, оставленным без изменения постановлением Восемнадцатого арбитражного апелляционного суда от 20.01.2020, заявление удовлетворено. Постановлением Арбитражного суда Уральского округа от 28.07.2020 принятые на новом рассмотрение определение суда первой инстанции от 25.10.2019 и постановление апелляционного суда от 20.01.2020 отменены, в удовлетворении заявления отказано. В кассационной жалобе, поданной в Верховный Суд Российской Федерации, заявитель просит отменить принятое на новом рассмотрении 2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и отказывая в заявлении, суд округа, применительно к положениям статей 168, 170 Гражданского кодекса Российской Федерации, статей 71, 100 Федерального закона от 26.10.2002 № 127-ФЗ «О несостоятельности (банкротстве)», разъяснениям, содержащимися в пунктах 87 – 88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Обзоре судебной практики разрешения споров, связанных с установлением в процедурах банкротства требований контролирующих должника и заинтересованных с ним лиц, утвержденного Президиумом Верховного Суда Российской Федерации от 29.01.2020, исходил из того, что заявленное обществом требование основано на притворных сделках, прикрывающих внутрикорпоративный заём с использованием конечным бенефициаром счёта подконтрольного должника в качестве транзитного без реального пополнения его активов на сумму финансирования.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«Ника»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