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Скляревский Е.Г. обратился в суд с заявлением о включении в третью очередь реестра требований кредиторов должника вознаграждения управляющего в размере 879 282 рублей 88 копеек. Определением Арбитражного суда города Москвы от 28.02.2020, оставленным без изменения постановлениями Девятого арбитражного апелляционного суда от 02.07.2020 и Арбитражного суда Московского округа от 08.09.2020, требования признаны обоснованными в части, требование Скляревского Е.Г. в размере 95 995 рублей 02 копеек, из которых 35 995 рублей 02 копейки – расходы за период проведения процедуры наблюдения, 60 000 рублей – суммы процентов по вознаграждению за проведение процедуры наблюдения включено в третью очередь реестра требований кредиторов должника;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его требований, включить требования Скляревского Е.Г. в реестр в полном объёме.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20.6, 59, 100 и 142 Федерального закона от 26.10.2002 № 127-ФЗ «О несостоятельности (банкротстве)», установив частичную обоснованность требований Скляревского Е.Г., пришли к выводу об отсутствии оснований для удовлетворения требований в полном объёме.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Скляревскому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