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обратилась в суд с заявлением о включении в реестр требований кредиторов должника задолженности в размере 30 032 016 рублей 78 копеек. Определением Арбитражного суда города Москвы от 23.04.2019 требование ФИО1 в размере 28 068 493 рублей 15 копеек основного долга включено в третью очередь удовлетворения реестра, а требование в размере 1 963 523 рублей 80 копеек процентов за пользование чужими денежными средствами – в третью очередь отдельно с удовлетворением после погашения основной задолженности и причитающихся процентов. Постановлением Девятого арбитражного апелляционного суда от 18.07.2019, оставленным без изменения Арбитражного суда Московского округа от 03.10.2019, вышеуказанное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принятый по делу судебный акт, апелляционный суд, основываясь на оценке имеющихся в деле доказательств в соответствии с правилами главы 7 Арбитражного процессуального кодекса Российской Федерации, руководствуясь статьями 807 , 810 , 812 Гражданского кодекса Российской Федерации, статьями 71, 100 Федерального закона от 26.10.2002 № 127-ФЗ «О несостоятельности (банкротстве)», разъяснениями, изложенными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 из отсутствия оснований для удовлетворения требования ввиду непредставления заявителем доказательств, подтверждающих снятие со своего расчётного счёта, пополняемого преимущественно за счёт безналичной выплаты дивидендов, наличных денежных средств для последующей передачи должнику по расписке. Сведений о расходовании полученных должником средств также не имеется. Мотивы предоставления нового займа, когда по предыдущему договору займа должник в установленный и наступивший срок свои обязательства по возврату денежных средств не исполнил, суду не приведены. Суд округа поддержал выводы апелляционного суда об искусственном увеличении заявителем кредиторской задолженности и причинения вреда имущественным правам иных кредиторов должника. Выводы судов апелляционной инстанции и округа соответствуют нормам права, оснований для переоценки этих выводов не имеется. Несогласие заявителя с данными выводами судов апелляционной инстанции и округа, основанными на установленных фактических обстоятельствах дела,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Емельянова Е.А. в лице ф/у Сафарова А.Р. (подробнее) Иные лица: еланская Ирина Юрьевна (подробнее) ф/у Еланская И.Ю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