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11.03.2020, оставленным без изменения постановлением Пятнадцатого арбитражного апелляционного суда от 10.06.2020, заявленные требования удовлетворены. Постановлением Арбитражного суда Северо-Кавказского округа от 01.09.2020 указанные судебные акты отменены, дело направлено на новое рассмотрение в суд первой инстанции.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все представленные в материалы дела доказательства и доводы сторон относительно наличия (отсутствия) вмененного правонарушения, и с учетом результата их оценки в совокупности и взаимосвязи принять обоснованное решение.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"РОСТОВСКИЙ МОРСКОЙ МУЛЬТИМОДАЛЬНЫЙ ПОРТ" (подробнее) Ответчики: Ростовская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