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«Юргарант» на основании договора цессии обратилось в Арбитражный суд Смоленской области с иском о взыскании с общества с ограниченной ответственностью «Страховая компания «Согласие» 233 300 рублей страхового возмещения, 325 623 рублей неустойки, с начислением неустойки по дату уплаты суммы долга, 15 000 рублей судебных расходов в виде расходов по проведению оценки ущерба и 25 000 рублей расходов на оплату услуг представителя.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«Боннавто», общество с ограниченной ответственностью «СДС-Автотранс», публичное акционерное общество «Страховая акционерная компания «Энергогарант». Решением Арбитражного суда Смоленской области от 12.12.2019 в удовлетворении иска отказано. 2 Постановлением Двадцатого арбитражного апелляционного суда от 13.02.2020 решение суда первой инстанции оставлено без изменения. Арбитражный суд Центрального округа постановлением от 06.07.2020 указанные судебные акты оставил без изменения. Общество с ограниченной ответственностью «Юргарант»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Письмом судьи Верховного Суда Российской Федерации от 29.10.2020 дело истребовано из Арбитражного суда Смоленской области для проверки доводов жалобы по его материалам.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истребованного дела,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15, 384, 929, 1064 Гражданского кодекса Российской Федерации, Федерального закона от 25.04.2002 № 40-ФЗ «Об обязательном страховании гражданской ответственности владельцев транспортных средств», разъяснениями, изложенными в постановлении Пленума Верховного Суда Российской Федерации от 26.12.2017 № 58 «О применении судами законодательства об обязательном страховании гражданской ответственности владельцев транспортных средств», суды пришли к выводу об отсутствии у потерпевшего (цедента) права на прямое возмещение убытков и, как следствие, отсутствие у истца (цессионария) права на предъявление настоящего иска.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«Юргарант»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