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10.10.2019 иск удовлетворен. Тринадцатый арбитражный апелляционный суд постановлением от 23.03.2020 отменил решение от 10.10.2019 и в удовлетворении иска отказал. Арбитражный суд Северо-Западного округа постановлением от 28.07.2020 постановление Тринадцатого арбитражного апелляционного суда от 23.03.2020 оставил без изменения. В кассационной жалобе общество просит об отмене судебных актов апелляционного и окружного судов, ссылаясь на нарушение банком законного запрета на одностороннее изменение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в договоре банковского обслуживания от 14.06.2016 № 30/768080 сторонами согласован порядок изменения банком условий оплаты предоставленных услуг и уведомления об этом клиента посредством публичного оповещения с размещением на стендах в банке и/или на сайте банка в сети интернет по адресу: www.vtb.ru (пункт 3.2.6 раздела 9 договора). Отказывая в удовлетворении иска, апелляционный суд обоснованно исходил из того, что действия банка по установлению и удержанию комиссий от сумм денежных переводов клиента находятся в пределах договора и не создают условий для возврата удержанных сумм в силу статьи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«ЮСАНА»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