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Захаров М.А. обратился в суд с заявлением о признании недействительными сделками договоров займа от 17.07.2015 № 01/2015, от 17.08.2015 № 02/2015, от 27.08.2015 № 03/2015 и от 09.09.2015 № 04/2015, заключенных между Микуровым Виталием Владимировичем и должником, и о применении последствий недействительности сделок в виде изменения субъектного состава оспариваемых сделок, признании займодавцем общества «Техстрой-М». Определением Арбитражного суда Пермского края от 02.02.2020 заявление удовлетворено. Определением Семнадцатого арбитражного апелляционного суда от 04.06.2020 производство по апелляционной жалобе Микурова В.В. на определение от 02.02.2020 прекращено в связи с отказом суда в удовлетворении ходатайства о восстановлении срока на подачу данной апелляционной жалобы. Постановлением Арбитражного суда Уральского округа от 31.07.2020 отменено определение суда первой инстанции от 02.02.2020, отказано в удовлетворении заявления. 2 В кассационных жалобах, поданных в Верховный Суд Российской Федерации, заявители просят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суда первой инстанции и отказывая в удовлетворении заявления, суд округа, руководствуясь положениями статей 170 и 421 Гражданского кодекса Российской Федерации, позицией, изложенной в пункте 87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пришёл к выводу об отсутствии оснований для удовлетворения заявления, указав, что обстоятельства, связанные с заключением оспариваемых договоров и с их последующим исполнением, не свидетельствуют о совершении сторонами неправомерных действий, направленных на сокрытие их реальной воли в определении условия сделки об оплате работ.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«Кинетик интернэшнл тулс» Захарову Михаилу Андреевичу, конкурсному управляющему обществом с ограниченной ответственностью «Техстрой-М» Зуйкину Илье Сергеевичу и Волкову Вячеславу Викторовичу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