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13.03.2020 оставленным без изменения постановлением Девятого арбитражного апелляционного суда от 11.06.2020 и постановлением Арбитражного суда Московского округа от 13.08.2020, в удовлетворении иска отказано. В кассационной жалобе общество «Эмекс.Ру» просит об отмене судебных актов, ссылаясь на игнорирование доказательств признания долга ответчиками, действительность поручительств и нерассмотрение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кассационной жалобы противоречат установленным судами обстоятельствам. Суды не установили осуществления поставок на спорную сумму в связи непредставлением первичных документов, необходимых для подтверждения возникновения между сторонами обязательств, об исполнении которых предъявлен иск. В связи недоказанностью поставки в иске отказано в соответствии со статьями 456, 486 Гражданского кодекса Российской Федерации. Вопросы доказывании и оценки доказательств не составляют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«Эмекс.Ру»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