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«Кей Продактс Ритэйл Групп» обратилось в Арбитражный суд города Москвы с иском, уточненным в порядке статьи 49 Арбитражного процессуального кодекса Российской Федерации, к обществу с ограниченной ответственностью «Шоколенд» о взыскании 1 475 496 рублей 07 копеек неустойки по договору поставки от 24.07.2018 № 37, и процентов за пользование чужими денежными средствами, начисленных на сумму задолженности за период с момента вступления решения в законную силу и до фактического его исполнения. Решением Арбитражного суда города Москвы от 06.03.2020 иск удовлетворен в части взыскания 1 475 496 рублей 07 копеек неустойки, в удовлетворении иска в остальной части отказано. Постановлением Девятого арбитражного апелляционного суда от 02.07.2020 решение суда первой инстанции оставлено без изменения. Арбитражный суд Московского округа постановлением от 16.09.2020 указанные судебные акты оставил без изменения. 2 Общество с ограниченной ответственностью «Шоколенд» обратилось в Судебную коллегию Верховного Суда Российской Федерации с кассационной жалобой на принятые по делу судебные акты в части удовлетворения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ответчиком обязательства своевременной оплаты поставленного товара, руководствуясь положениями статей 309, 310, 330, 486, 506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взыскания договорной неустойки. Оснований для применения статьи 333 Гражданского кодекса Российской Федерации судами не установлено ввиду отсутствия доказательств явной несоразмерности начисленной неустойки последствиям нарушения обязательства. Доводы заявителя жалобы о явной несоразмерности начисленной неустойки были рассмотрены судами и отклонены с учетом установленных фактических обстоятельств спора. В связи с этим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«Шоколенд»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