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подает кассационную жалобу на судебные акты по делу № А07-19385/2019 и одновременно просит о приостановлении их исполнения, ссылаясь на затруднение поворота исполнения в случае их отмены в связи с неустойчивым финансовым положением взыскателя. Рассмотрев ходатайство, суд не усматривает обстоятельств, влекущих в силу части 3 статьи 291.6 Арбитражного процессуального кодекса Российской Федерации приостановление исполнения судебных актов, поэтому отказывает в таком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«Научно-производственное предприятие Техмашконструкция» в приостановлении исполнения решения Арбитражного суда Республики Башкортостан от 05.03.2020 по делу № А07-19385/2019.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