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Курской области от 05.11.2019, оставленным без изменения постановлением Девятнадцатого арбитражного апелляционного суда от 18.02.2020 и постановлением Арбитражного суда Центрального округа от 28.07.2020, в иске отказано. В кассационной жалобе общество «ЭнергоСтройКомплект» просит об отмене судебных актов, ссылаясь на возложение обязанности представления решения о применении импортной продукции в противоречие с договорами.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исследовав содержание прав и обязанностей сторон по договорам от 27.03.2014 № 4936/500, от 18.05.2015 № 6753/159 с приложениями в виде соглашений по порядку оценки соответствия качества продукции и руководствуясь нормативными требованиями к используемым в атомной энергетике комплектующим, установили обязанность стороны поставщика (истца) представить необходимые для применения импортной продукции документы. Установив, что товар не укомплектован необходимой документацией и принят на ответственное хранение, суды в соответствии со статьями 456, 476 Гражданского кодекса Российской Федерации признали не возникшей у ответчика обязанности по его оплате.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«ЭнергоСтройКомплект»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