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23.12.2019, оставленным без изменения постановлением Десятого арбитражного апелляционного суда от 13.03.2020 и постановлением Арбитражного суда Московского округа от 27.07.2020, иск удовлетворен. В кассационной жалобе общество просит о пересмотре судебных актов, ссылаясь на нарушение норм процессуального права и несправедливый размер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судов, которые общество считает процессуальными нарушениями, таковыми не являются. Обстоятельства, составляющие основания для взыскания неустойки, установлены судами и не переоцениваются в кассационном порядке. Возражения общества в отношении заявленной неустойки оценены. Порядок обжалования судебных актов содержится в Арбитражном процессуальном кодексе Российской Федерации и его необъявление по окончании оглашения резолютивной части, но включение в полный текст решения не составляет несоответствия краткого и мотивированного текстов решения.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«ИКФ «Солвер»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"НПО ЭНЕРГОМАШ ИМЕНИ АКАДЕМИКА В.П.ГЛУШКО" (подробнее) Ответчики: ООО Инженерно-консалтинговая фирма "Солвер"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