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21.11.2019, оставленным без изменения постановлением Девятого арбитражного апелляционного суда от 25.02.2020 и постановлением Арбитражного суда Московского округа от 04.08.2020, в удовлетворении иска отказано. В кассационной жалобе общество просит об отмене судебных актов как основанных на ошибочном толковании договорного условия о предоставлении скидки и проигнорировавших недобросовестное поведение ответчика. В силу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у заявленной суммы признаков неосновательного обогащения (статья 1102 Гражданского кодекса Российской Федерации), поскольку она получена в счет оплаты разовой поставки в рамках контракта на многократные поставки фармацевтической продукции от 11.01.2018 № 643/17697/001/18-1. Доводы кассационной жалобы не подтверждают нарушения норм права и не составляют оснований для пересмотра обжалуемого судебного акта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«ГЛОБАЛ ФАРМА»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"ГЛОБАЛ ФАРМА" (подробнее) Ответчики: РУП "Белмедпрепараты" (подробнее) Судьи дела: Ксенофонтова Н.А.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