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26.09.2019, оставленным без изменения постановлением Семнадцатого арбитражного апелляционного суда от 13.12.2019 и постановлением Арбитражного суда Уральского округа от 26.02.2020, иск удовлетворен. В кассационной жалобе общество «БВБ-Альянс» просит о пересмотре судебных актов, ссылаясь на нарушение истцом договорного условия о приемке товара, недоказанности поставки некачественного товара ответчиком.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Факт поставки ответчиком в рамках договора поставки от 12.09.2018 № 108 некачественного товара и связанное с ним право на применение заявленных последствий установлены судами, в связи с чем иск удовлетворен в соответствии со статьями 469 , 475 , 518 Гражданского кодекса Российской Федерации. Изложенные в кассационной жалобе доводы тождественны доводам, заявленным в судах нижестоящих инстанций и получившим оценку судов. Вопросы доказывания и оценки доказательств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«БВБ-Альянс»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ТСК ИНТЕРСИ (подробнее) Ответчики: ООО "БВБ-Альянс"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