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12.03.2020, оставленным без изменения постановлением Двадцатого арбитражного апелляционного суда от 17.06.2020 и постановлением Арбитражного суда Центрального округа от 19.08.2020, исковое требование удовлетворено.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 установили, что между АО «КБП» (заказчик) и ООО «ЭРА Альянс» (поставщик) заключен договор №100-ДРиИ/БЗО-18/К, по условиям которого поставщик принял на себя обязательство поставить товар, выполнить пуско-наладочные работы, ввод оборудования в эксплуатацию и провести инструктаж 3 (обучение) специалистов, а заказчик – принять и оплатить товар на условиях договора. Согласно условиям договора (пункт 3.1) товар подлежал поставке в течение 150 календарных дней с момента заключения контракта, то есть не позднее 09.01.2019. По состоянию на 30.09.2019 товар в адрес заказчика поставлен не был, что послужило основанием для отказа АО «КБП» от исполнения договора в одностороннем порядке. Учитывая установленные обстоятельства факта просрочки поставки товара, руководствуясь положениями статей 309, 310, 329, 330, 421, 506, 521 Гражданского кодекса Российской Федерации, разъяснениями, изложенными в пункте 3 постановления Пленума Высшего Арбитражного Суда Российской Федерации от 06.06.2014 №35 «О последствиях расторжения договора», суды пришли к выводу о наличии оснований для возложения на поставщика гражданско-правовой ответственности в виде неустойки, начисленной в соответствии с пунктом 7.6 договора за период с 10.01.2019 по 17.10.2019 в сумме 6182 евро по курсу Центрального Банка Российской Федерации на дату фактического платежа. 3 Доводы, изложенные в кассационной жалобе, в том числе о задержке поставки продукции по объективным обстоятельствам и наличии оснований для снижения размера неустойки в порядке статьи 333 Гражданского кодекса Российской Федерации, были предметом рассмотрения судов и получили надлежащую правовую оценку. Несогласие общества с выводами судов ввиду иной оценки фактических обстоятельств дела и иного применения к ним положений законодательства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объединение «ЭРА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