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единственный участник Ключников Андрей Анатольевич обратился в суд с ходатайством о прекращении производства по настоящему делу. Определением Арбитражного суда Челябинской области от 23.12.2019 назначено судебное заседание по рассмотрению заявленного ходатайства, лицам, участвующим в деле, предложено представить согласие на финансирование процедуры банкротства и внести на депозитный счёт арбитражного суда первой инстанции денежные средства в размере не менее 200 000 рублей. Не согласившись с названным судебным актом, заявитель обжаловал его в апелляционном порядке. Определением Восемнадцатого арбитражного апелляционного суда от 12.02.2020, оставленным без изменения постановлением Арбитражного суда Уральского округа от 27.07.2020, апелляционная жалоба возвращена заявителю на основании пункта 2 части 1 статьи 264 Арбитражного процессуального кодекса Российской Федерации как поданная на судебный акт, который не обжалуется в порядке апелляционного производства. В кассационной жалобе, поданной в Верховный Суд Российской Федерации, заявитель просит отменить названные судебные акты, апелляционную жалобу направить в суд апелляционной инстанции для рассмотрения по существу.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апелляционный суд, руководствуясь статьями 188, 223, 264 Арбитражного процессуального кодекса Российской Федерации, пунктом 14 постановления Пленума Высшего Арбитражного Суда Российской Федерации от 17.12.2009 № 91 «О порядке погашения расходов по делу о банкротстве», исходил из невозможности самостоятельного апелляционного обжалования определения о назначении дела к судебному разбирательству, не препятствующего дальнейшему движению дела. Проверяя обоснованность возврата жалобы заявителя, судебная коллегия окружного суда не установила нарушений норм процессуального права и согласилась с данными выводами, указав, что обжалуемый судебный акт фактически опосредует назначение судебного заседания с разъяснением необходимости совершения дальнейших процессуальных действий.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ТПК «Уралпромоснастка»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