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указанные судебные акты, одновременно ходатайствуя об отсрочке уплаты государственной пошлины за ее подачу, обосновывая неуплату государственной пошлины отсутствием у него денежных средств и нахождением в процедуре банкротства. В силу статьи 102 Арбитражного процессуального кодекса Российской Федерации основания и порядок уплаты государственной пошлины, 2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Арбитражный суд не может по своему усмотрению отказывать в отсрочке или рассрочке уплаты государственной пошлины и уменьшении ее размера, если имеются объективные основания для удовлетворения ходатайства. Установив наличие объективных оснований, судья приходит к выводу о предоставлении заявителю отсрочки уплаты госпошлины. Руководствуясь статьями 184, 291.2,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удовлетворить. Предоставить обществу с ограниченной ответственностью «Стройновация» отсрочку уплаты государственной пошлины сроком до окончания производства по настоящей кассационной жалобе. Судья Верховного Суда Российской Федерации Р.А. Хатыпова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