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14.02.2020, оставленным без изменения постановлением Тринадцатого арбитражного апелляционного суда от 29.05.2020, в удовлетворении основного требования отказано, с общества в пользу фонда взыскан штраф 2000 рублей. Постановлением Арбитражного суда Северо-Западного округа от 04.08.2020 указанные судебные акты оставлены без изменения. Общество просит обжалуемые судебные акты отменить, считая их принятыми с существенным нарушением норм материального права и (или) норм процессуального права. Исходя из доводов жалобы и принятых по делу судебных актов,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11, 17 Федерального закона от 01.04.1996 № 27-ФЗ «Об индивидуальном (персонифицированном) учете в системе обязательного пенсионного страхования», суды отказали в удовлетворении основного требования, встречное требование удовлетворили, признав доказанным факт непредставления в установленный срок сведений персонифицированного учета и наличие оснований для начисления штрафа. Несогласие общества с установленными судами фактическими обстоятельствами дела и с толкованием норм законодательства, подлежащего применению к рассматриваемым правоотношениям, в силу статьи 291.6 Арбитражного процессуального кодекса Российской Федерации, а также в отсутствие доводов об устранении страхователем неполноты и ошибок в ранее представленных сведениях, не свидетельствует о наличии оснований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