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10.03.2020, оставленным без изменения постановлением Пятого арбитражного апелляционного суда от 14.05.2020, иск удовлетворен. 2 Постановлением Арбитражного суда Дальневосточного округа от 24.07.2020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направить дело на новое рассмотрение в суд первой инстанции.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иск, признав факт передачи истцу как заказчику результата выполненных работ с недостатками, и установив просрочку исполнения обязательства по муниципальному контракту. Доводы жалобы были предметом рассмотрения судов и получили исчерпывающую правовую оценку, не согласиться с которой оснований не имеется. Приведенные в жалобе доводы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обжалуемый судебный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