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20.11.2019, первоначальный иск удовлетворен частично, на предпринимателя возложена обязанность передать управлению исполнительную документацию на выполненные работы, в удовлетворении остальной части первоначального иска отказано, в удовлетворении встречного иска отказано. Дополнительным решением суда от 19.12.2019 предпринимателю установлен срок передачи исполнительной документации и взысканы судебные расходы по оплате стоимости экспертизы в размере 185 000 рублей. Постановлением Пятого арбитражного апелляционного суда от 03.06.2020 решение суда первой инстанции изменено, на предпринимателя возложена обязанность передать управлению исполнительную документацию на выполненные работы, с предпринимателя в пользу управления взыскано 397 355,27 рублей, составляющих 84 000 рублей штрафа за неисполнение обязательства по предоставлению нового обеспечения контракта, 84 000 рублей штрафа за неисполнение обязательств по устранению недостатков работ, 229 355,27 рублей неустойки за нарушение сроков выполнения работ, в удовлетворении остальной части иска отказано, в удовлетворении встречного иска отказано, дополнительное решение оставлено без изменения. Постановлением Арбитражного суда Дальневосточного округа от 07.09.2020 дополнительное решение и постановление суда апелляционной инстанции оставлены без изменения. Предприниматель обратился в Верховный Суд Российской Федерации с кассационной жалобой, в которой просит принятые по делу судебные акты отменить, направить дело на новое рассмотрение в суд первой инстанции.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частично удовлетворили первоначальный иск, установив факт нарушения предпринимателем как подрядчиком обязательств по контракту, и признав наличие обязанности передать исполнительную документацию заказчику; в удовлетворении встречного иска отказано, поскольку доказательства выполнения работ на заявленную сумму подрядчиком не представлено. Доводы кассационной жалобы относительно объема выполненных подрядчиком работ и недостатков судебной экспертизы были предметом исследования судов и получили исчерпывающую правовую оценку применительно к конкретным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культуры, спорта и молодежной политики МО Томаринский ГО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