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25.11.2019, оставленным без изменения постановлением Первого арбитражного апелляционного суда от 10.02.2020, Соловьев В.Н.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2 Постановлением Арбитражного суда Волго-Вятского округа от 29.07.2020 указанные судебные акты оставлены без изменения. Соловьев В.Н.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вынесения постановления о возбуждении дела об административном правонарушении и обращения в арбитражный суд с соответствующим заявлением послужил установленный прокурором факт воспрепятствования бывшим руководителем должника Соловьевым В.Н. деятельности арбитражного управляющего ввиду неисполнения обязанности по передаче арбитражному управляющему бухгалтерских и иных документов, отражающих экономическую деятельность должника за три года до возбуждения дела о банкротстве.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3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Соловьева В.Н. состава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правонарушениях. Суды пришли к выводу о наличии вины в действиях Соловьева В.Н.,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были предметом рассмотрения судов и получили исчерпывающую правовую оценку применительно к вмененному в рассматриваемом случае правонарушению и объекту посягательства.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