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28.01.2020 иск оставлен без рассмотрения. Определением Девятого арбитражного апелляционного суда от 01.06.2020 апелляционная жалоба возвращена фонду на основании пункта 3 части 1 статьи 264 Арбитражного процессуального кодекса Российской Федерации в связи с пропуском срока на ее подачу и отказом в удовлетворении ходатайства о его восстановлении. Постановлением Арбитражного суда Московского округа от 11.08.2020 определение суда апелляционной инстанции оставлено без изменения. Фонд обратился в Верховный Суд Российской Федерации с кассационной жалобой, в которой просит постановление суда округа отменить, ссылаясь на допущенные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заявителем причины несвоевременного обращения в суд с апелляционной жалобой были рассмотрены судом и признаны неуважительными. Суд округа согласился с выводами апелляционного суда. Выводы судов не противоречат правовой позиции, изложенной в пункте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(подлежащего применению в спорный момент) и не могут рассматриваться в качестве уважительных причин пропуска процессуального срока. Доказательств того, что, действуя разумно и добросовестно, заявитель столкнулся с обстоятельствами, объективно воспрепятствовавшими своевременному направлению жалобы и действительно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ГЛАВНОЕ УПРАВЛЕНИЕ ПЕНСИОННОГО ФОНДА РОССИЙСКОЙ ФЕДЕРАЦИИ №6 ПО Г.МОСКВЕ И МОСКОВСКОЙ ОБЛАСТИ (подробнее) Ответчики: ООО Группа Компаний "СТРОЙПРОГРЕСС"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