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29.11.2019, оставленным без изменения постановлением Семнадцатого арбитражного апелляционного суда от 13.03.2020, в удовлетворении заявленного требования отказано. 2 Постановлением Арбитражного суда Уральского округа от 30.07.2020 указанные судебные акты оставлены без изменения. Гребенщикова Ю.А. обратилась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суды пришли к выводу об отсутствии достаточных данных, указывающих на наличие в действиях (бездействии) арбитражного управляющего состава административного правонарушения, в том числе вины в его совершении, в связи с чем признали оспариваемое постановление о прекращении производства по делу об административном правонарушении законным и обоснованным. Доводы кассационной жалобы были предметом исследования судов и получили исчерпывающую правовую оценку с учетом объекта страхования ответственности,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