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20.02.2020, оставленным без изменения постановлением Девятого арбитражного апелляционного суда от 06.07.2020, в удовлетворении требования отказано. Постановлением Арбитражного суда Московского округа от 10.09.2020 указанные судебные акты оставлены без изменения. Предприниматель просит состоявшиеся по делу судебные акты отменить, считая их принятыми с существенным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использование предпринимателем транспортного средства для осуществления регулярных перевозок пассажиров в отсутствие карты маршрута регулярных перевозок. Частью 4 статьи 11.33 Кодекса Российской Федерации об административных правонарушениях предусмотрена административная ответственность за использование для осуществления регулярных перевозок пассажиров автобуса, трамвая или троллейбуса при отсутствии карты маршрута регулярных перевозок в случае, если наличие такой карты является обязательным. Оценив представленные доказательства, руководствуясь положениями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Федерации», суды пришли к выводу о наличии в действиях предпринимателя состава правонарушения, ответственность за совершение которого предусмотрена частью 4 статьи 11.33 Кодекса Российской Федерации об административных правонарушениях. 3 Процедура и срок давности привлечения к административной ответственности соблюдены, административное наказание в виде штрафа назначено в пределах санкции нормы. Приведенные в жалобе доводы об осуществлении предпринимателем перевозки пассажиров по иному маршруту, чем установлено административным органом, были предметом исследования судов и им дана исчерпывающая правовая оценка, не согласиться с которой оснований не имеется. При этом суды указали, что при проведении проверки карта иного маршрута водителем также не предъявлялась. Указанные выводы судов в жалобе не опровергнуты.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