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08.11.2019, оставленным без изменения постановлением Пятнадцатого арбитражного апелляционного суда от 23.05.2020, иск удовлетворен частично, с общества в пользу министерства взыскано 16 363 128,66 рублей пеней, в остальной части иска отказано. Постановлением Арбитражного суда Северо-Кавказского округа от 12.08.2020 указанные судебные акты изменены, с общества в пользу 2 министерства взыскано 7 384 034,57 рубля пеней, в остальной части иска отказано. Общество обратилось в Верховный Суд Российской Федерации с кассационной жалобой, в которой просит принятые по делу судебные акты отменить, направить дело на новое рассмотрение в суд первой инстанции. При изучении доводов жалобы и принятых по делу судебных актов оснований для удовлетворения жалобы не установлено. Изменяя решение суда первой и постановление суда апелляционной инстанций, суд округа руководствовался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и исходил из установленных обстоятельств, свидетельствующих о несвоевременном исполнении обществом как подрядчиком обязательств по контракту, однако произвел перерасчет суммы неустойки с учетом ставок рефинансирования и периодов просрочки пропорционально частичному выполнению работ. Доводы кассационной жалобы относительно невозможности своевременного исполнения работ по вине заказчика были предметом исследования судов и получили исчерпывающую правовую оценку, в том числе, применительно к обстоятельствам поведения подрядчика в обычных условиях гражданского оборота. Иные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