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12.03.2020, оставленным без изменения постановлением Двенадцатого арбитражного апелляционного суда от 08.06.2020, иск удовлетворен частично, с ответчика в пользу истца взыскано 494 370,25 рублей стоимости товара, 126 006,84 рублей 2 штрафа, 7000 рублей убытков; в удовлетворении остальной части иска отказано. Постановлением Арбитражного суда Поволжского округа от 11.08.2020 указанные судебные акты оставлены без изменения. Ответчик обратился в Верховный Суд Российской Федерации с кассационной жалобой, в которой просит названные судебные акты в части удовлетворения иска отменить, считая их незаконными и необоснованными в указанной части.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393, 454, 475 Гражданского кодекса Российской Федерации, суды частично удовлетворили иск, признав, что ответчиком как поставщиком ненадлежащим образом выполнены обязательства по контракту, поставленная мебель не соответствует условиям контракта и требованиям нормативных документов, предъявляемым к качеству мебели. Доводы жалобы были предметом исследования судов и получили исчерпывающую правовую оценку, в том числе с учетом претензионной работы истца и поведения ответчика,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